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3D5AF354" w:rsidR="00EF0DD6" w:rsidRDefault="00867B54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0716EB">
        <w:rPr>
          <w:rFonts w:ascii="Calibri" w:hAnsi="Calibri" w:cs="Calibri"/>
          <w:b/>
          <w:bCs/>
          <w:u w:val="single"/>
        </w:rPr>
        <w:t>3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68433481" w:rsidR="00B92F4D" w:rsidRPr="00B92F4D" w:rsidRDefault="000716EB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garçon ramassait des feuilles dans le jardin.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4616CD8F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0716EB">
              <w:rPr>
                <w:rFonts w:ascii="Calibri" w:hAnsi="Calibri" w:cs="Calibri"/>
                <w:b/>
                <w:bCs/>
              </w:rPr>
              <w:t>Elsa</w:t>
            </w:r>
            <w:r w:rsidR="00867B54"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 xml:space="preserve">e </w:t>
            </w:r>
            <w:r w:rsidR="002E493C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4545D696" w:rsidR="00867B54" w:rsidRPr="00B92F4D" w:rsidRDefault="000716EB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repas sera bientôt prêt : tu mangeras des pâtes.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316C6B82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0716EB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>’</w:t>
            </w:r>
            <w:r w:rsidR="002E493C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56EBDC27" w:rsidR="001B1147" w:rsidRDefault="00867B54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0716EB">
        <w:rPr>
          <w:rFonts w:ascii="Calibri" w:hAnsi="Calibri" w:cs="Calibri"/>
          <w:b/>
          <w:bCs/>
          <w:u w:val="single"/>
        </w:rPr>
        <w:t>3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6E715153" w:rsidR="00B50C31" w:rsidRPr="00B92F4D" w:rsidRDefault="000716EB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maitre explique la leçon, les élèves écoutent.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7921C56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0716EB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le </w:t>
            </w:r>
            <w:r w:rsidR="000716EB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29E02D19" w:rsidR="00B50C31" w:rsidRPr="00B92F4D" w:rsidRDefault="000716EB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Ma sœur a reçu une lettre inattendue ce matin.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3B357BF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0716EB">
              <w:rPr>
                <w:rFonts w:ascii="Calibri" w:hAnsi="Calibri" w:cs="Calibri"/>
                <w:b/>
                <w:bCs/>
              </w:rPr>
              <w:t>il</w:t>
            </w:r>
            <w:r w:rsidR="002E493C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</w:rPr>
              <w:t> » et le 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="002E493C">
              <w:rPr>
                <w:rFonts w:ascii="Calibri" w:hAnsi="Calibri" w:cs="Calibri"/>
                <w:b/>
                <w:bCs/>
              </w:rPr>
              <w:t>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716EB"/>
    <w:rsid w:val="000B3F11"/>
    <w:rsid w:val="000E72E3"/>
    <w:rsid w:val="001B1147"/>
    <w:rsid w:val="00246FAF"/>
    <w:rsid w:val="002C1CD6"/>
    <w:rsid w:val="002D70AF"/>
    <w:rsid w:val="002E493C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67B54"/>
    <w:rsid w:val="00894DD2"/>
    <w:rsid w:val="0090522E"/>
    <w:rsid w:val="009B175C"/>
    <w:rsid w:val="009C30BB"/>
    <w:rsid w:val="009D6E2F"/>
    <w:rsid w:val="00A26E1B"/>
    <w:rsid w:val="00A31662"/>
    <w:rsid w:val="00A34ACE"/>
    <w:rsid w:val="00A70D17"/>
    <w:rsid w:val="00A977A7"/>
    <w:rsid w:val="00AC7F1B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323F5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2025-09-02T13:46:00Z</dcterms:created>
  <dcterms:modified xsi:type="dcterms:W3CDTF">2025-09-02T13:47:00Z</dcterms:modified>
</cp:coreProperties>
</file>